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49A" w:rsidRPr="00EB1F85" w:rsidRDefault="0052049A" w:rsidP="005204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F85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Тема 2.7 </w:t>
      </w:r>
      <w:r w:rsidRPr="00EB1F85">
        <w:rPr>
          <w:rFonts w:ascii="Times New Roman" w:hAnsi="Times New Roman" w:cs="Times New Roman"/>
          <w:b/>
          <w:sz w:val="28"/>
          <w:szCs w:val="28"/>
        </w:rPr>
        <w:t>Налог на транспортные средства</w:t>
      </w:r>
    </w:p>
    <w:p w:rsidR="0052049A" w:rsidRPr="00EB1F85" w:rsidRDefault="0052049A" w:rsidP="005204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49A" w:rsidRPr="00EB1F85" w:rsidRDefault="0052049A" w:rsidP="005204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( Раздел 13 Налог на транспортные средства, главы 57-59, статьи 490-496)</w:t>
      </w:r>
    </w:p>
    <w:p w:rsidR="0052049A" w:rsidRPr="00EB1F85" w:rsidRDefault="0052049A" w:rsidP="005204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2049A" w:rsidRPr="00EB1F85" w:rsidRDefault="0052049A" w:rsidP="005204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Плательщиками налога на транспортные средства являются физические лица, имеющие объекты налогообложения на праве собственности, и юридические лица, имеющие объекты налогообложения на праве собственности, хозяйственного ведения или оперативного управления.</w:t>
      </w:r>
    </w:p>
    <w:p w:rsidR="0052049A" w:rsidRPr="00EB1F85" w:rsidRDefault="0052049A" w:rsidP="005204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1. Объектами налогообложения являются транспортные средства, за исключением прицепов, зарегистрированные и (или) состоящие на учете в Республике Казахстан.</w:t>
      </w:r>
    </w:p>
    <w:p w:rsidR="0052049A" w:rsidRPr="00EB1F85" w:rsidRDefault="0052049A" w:rsidP="005204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      2. Не являются объектами налогообложения:</w:t>
      </w:r>
    </w:p>
    <w:p w:rsidR="0052049A" w:rsidRPr="00EB1F85" w:rsidRDefault="0052049A" w:rsidP="005204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      1) карьерные автосамосвалы грузоподъемностью 40 тонн и выше;</w:t>
      </w:r>
    </w:p>
    <w:p w:rsidR="0052049A" w:rsidRPr="00EB1F85" w:rsidRDefault="0052049A" w:rsidP="005204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      2) специализированные медицинские транспортные средства;</w:t>
      </w:r>
    </w:p>
    <w:p w:rsidR="0052049A" w:rsidRPr="00EB1F85" w:rsidRDefault="0052049A" w:rsidP="005204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      3) морские суда, зарегистрированные в международном судовом реестре Республики Казахстан;</w:t>
      </w:r>
    </w:p>
    <w:p w:rsidR="0052049A" w:rsidRPr="00EB1F85" w:rsidRDefault="0052049A" w:rsidP="005204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      4) специальные автомобили, являющиеся объектом обложения налогом на имущество.</w:t>
      </w:r>
    </w:p>
    <w:p w:rsidR="0052049A" w:rsidRPr="00EB1F85" w:rsidRDefault="0052049A" w:rsidP="0052049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049A" w:rsidRPr="00EB1F85" w:rsidRDefault="0052049A" w:rsidP="005204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В статье 490 НК РК представлены категории, не являющиеся плательщиками налога на транспортные средства (сельхозпроизводители, госучреждения, участники и инвалиды ВОВ, многодетные матери, инвалиды и т.д.)</w:t>
      </w:r>
    </w:p>
    <w:p w:rsidR="0052049A" w:rsidRPr="00EB1F85" w:rsidRDefault="0052049A" w:rsidP="005204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2049A" w:rsidRPr="00EB1F85" w:rsidRDefault="0052049A" w:rsidP="005204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1F85">
        <w:rPr>
          <w:rFonts w:ascii="Times New Roman" w:hAnsi="Times New Roman" w:cs="Times New Roman"/>
          <w:sz w:val="28"/>
          <w:szCs w:val="28"/>
        </w:rPr>
        <w:t>Согласно статьи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 xml:space="preserve"> 496 НК РК, исчисление налога производится по следующим ставкам, установленным в месячных расчетных показателях:</w:t>
      </w:r>
    </w:p>
    <w:tbl>
      <w:tblPr>
        <w:tblW w:w="9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"/>
        <w:gridCol w:w="6379"/>
        <w:gridCol w:w="2551"/>
      </w:tblGrid>
      <w:tr w:rsidR="0052049A" w:rsidRPr="00EB1F85" w:rsidTr="00D84E0F">
        <w:trPr>
          <w:trHeight w:val="1140"/>
          <w:jc w:val="center"/>
        </w:trPr>
        <w:tc>
          <w:tcPr>
            <w:tcW w:w="468" w:type="dxa"/>
            <w:tcMar>
              <w:top w:w="30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Объект налогообложения</w:t>
            </w:r>
          </w:p>
        </w:tc>
        <w:tc>
          <w:tcPr>
            <w:tcW w:w="2551" w:type="dxa"/>
            <w:tcMar>
              <w:top w:w="30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Налоговая ставка (месячный расчетный показатель)</w:t>
            </w:r>
          </w:p>
        </w:tc>
      </w:tr>
      <w:tr w:rsidR="0052049A" w:rsidRPr="00EB1F85" w:rsidTr="00D84E0F">
        <w:trPr>
          <w:trHeight w:val="255"/>
          <w:jc w:val="center"/>
        </w:trPr>
        <w:tc>
          <w:tcPr>
            <w:tcW w:w="468" w:type="dxa"/>
            <w:tcMar>
              <w:top w:w="30" w:type="dxa"/>
              <w:left w:w="30" w:type="dxa"/>
              <w:bottom w:w="15" w:type="dxa"/>
              <w:right w:w="30" w:type="dxa"/>
            </w:tcMar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2049A" w:rsidRPr="00EB1F85" w:rsidTr="00D84E0F">
        <w:trPr>
          <w:trHeight w:val="465"/>
          <w:jc w:val="center"/>
        </w:trPr>
        <w:tc>
          <w:tcPr>
            <w:tcW w:w="468" w:type="dxa"/>
            <w:tcMar>
              <w:top w:w="30" w:type="dxa"/>
              <w:left w:w="30" w:type="dxa"/>
              <w:bottom w:w="15" w:type="dxa"/>
              <w:right w:w="30" w:type="dxa"/>
            </w:tcMar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Легковые автомобили со следующей градацией по объему двигателя (куб. см):</w:t>
            </w:r>
          </w:p>
        </w:tc>
        <w:tc>
          <w:tcPr>
            <w:tcW w:w="2551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2049A" w:rsidRPr="00EB1F85" w:rsidTr="00D84E0F">
        <w:trPr>
          <w:trHeight w:val="255"/>
          <w:jc w:val="center"/>
        </w:trPr>
        <w:tc>
          <w:tcPr>
            <w:tcW w:w="468" w:type="dxa"/>
            <w:tcMar>
              <w:top w:w="30" w:type="dxa"/>
              <w:left w:w="30" w:type="dxa"/>
              <w:bottom w:w="15" w:type="dxa"/>
              <w:right w:w="30" w:type="dxa"/>
            </w:tcMar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до 1 100 включительно</w:t>
            </w:r>
          </w:p>
        </w:tc>
        <w:tc>
          <w:tcPr>
            <w:tcW w:w="2551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2049A" w:rsidRPr="00EB1F85" w:rsidTr="00D84E0F">
        <w:trPr>
          <w:trHeight w:val="255"/>
          <w:jc w:val="center"/>
        </w:trPr>
        <w:tc>
          <w:tcPr>
            <w:tcW w:w="468" w:type="dxa"/>
            <w:tcMar>
              <w:top w:w="30" w:type="dxa"/>
              <w:left w:w="30" w:type="dxa"/>
              <w:bottom w:w="15" w:type="dxa"/>
              <w:right w:w="30" w:type="dxa"/>
            </w:tcMar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свыше 1 100 до 1 500 включительно</w:t>
            </w:r>
          </w:p>
        </w:tc>
        <w:tc>
          <w:tcPr>
            <w:tcW w:w="2551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2049A" w:rsidRPr="00EB1F85" w:rsidTr="00D84E0F">
        <w:trPr>
          <w:trHeight w:val="255"/>
          <w:jc w:val="center"/>
        </w:trPr>
        <w:tc>
          <w:tcPr>
            <w:tcW w:w="468" w:type="dxa"/>
            <w:tcMar>
              <w:top w:w="30" w:type="dxa"/>
              <w:left w:w="30" w:type="dxa"/>
              <w:bottom w:w="15" w:type="dxa"/>
              <w:right w:w="30" w:type="dxa"/>
            </w:tcMar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свыше 1 500 до 2 000 включительно</w:t>
            </w:r>
          </w:p>
        </w:tc>
        <w:tc>
          <w:tcPr>
            <w:tcW w:w="2551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2049A" w:rsidRPr="00EB1F85" w:rsidTr="00D84E0F">
        <w:trPr>
          <w:trHeight w:val="255"/>
          <w:jc w:val="center"/>
        </w:trPr>
        <w:tc>
          <w:tcPr>
            <w:tcW w:w="468" w:type="dxa"/>
            <w:tcMar>
              <w:top w:w="30" w:type="dxa"/>
              <w:left w:w="30" w:type="dxa"/>
              <w:bottom w:w="15" w:type="dxa"/>
              <w:right w:w="30" w:type="dxa"/>
            </w:tcMar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свыше 2 000 до 2 500 включительно</w:t>
            </w:r>
          </w:p>
        </w:tc>
        <w:tc>
          <w:tcPr>
            <w:tcW w:w="2551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2049A" w:rsidRPr="00EB1F85" w:rsidTr="00D84E0F">
        <w:trPr>
          <w:trHeight w:val="255"/>
          <w:jc w:val="center"/>
        </w:trPr>
        <w:tc>
          <w:tcPr>
            <w:tcW w:w="468" w:type="dxa"/>
            <w:tcMar>
              <w:top w:w="30" w:type="dxa"/>
              <w:left w:w="30" w:type="dxa"/>
              <w:bottom w:w="15" w:type="dxa"/>
              <w:right w:w="30" w:type="dxa"/>
            </w:tcMar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свыше 2 500 до 3 000 включительно</w:t>
            </w:r>
          </w:p>
        </w:tc>
        <w:tc>
          <w:tcPr>
            <w:tcW w:w="2551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2049A" w:rsidRPr="00EB1F85" w:rsidTr="00D84E0F">
        <w:trPr>
          <w:trHeight w:val="255"/>
          <w:jc w:val="center"/>
        </w:trPr>
        <w:tc>
          <w:tcPr>
            <w:tcW w:w="468" w:type="dxa"/>
            <w:tcMar>
              <w:top w:w="30" w:type="dxa"/>
              <w:left w:w="30" w:type="dxa"/>
              <w:bottom w:w="15" w:type="dxa"/>
              <w:right w:w="30" w:type="dxa"/>
            </w:tcMar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свыше 3 000 до 4 000 включительно</w:t>
            </w:r>
          </w:p>
        </w:tc>
        <w:tc>
          <w:tcPr>
            <w:tcW w:w="2551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2049A" w:rsidRPr="00EB1F85" w:rsidTr="00D84E0F">
        <w:trPr>
          <w:trHeight w:val="255"/>
          <w:jc w:val="center"/>
        </w:trPr>
        <w:tc>
          <w:tcPr>
            <w:tcW w:w="468" w:type="dxa"/>
            <w:tcMar>
              <w:top w:w="30" w:type="dxa"/>
              <w:left w:w="30" w:type="dxa"/>
              <w:bottom w:w="15" w:type="dxa"/>
              <w:right w:w="30" w:type="dxa"/>
            </w:tcMar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свыше 4 000</w:t>
            </w:r>
          </w:p>
        </w:tc>
        <w:tc>
          <w:tcPr>
            <w:tcW w:w="2551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</w:tr>
      <w:tr w:rsidR="0052049A" w:rsidRPr="00EB1F85" w:rsidTr="00D84E0F">
        <w:trPr>
          <w:trHeight w:val="465"/>
          <w:jc w:val="center"/>
        </w:trPr>
        <w:tc>
          <w:tcPr>
            <w:tcW w:w="468" w:type="dxa"/>
            <w:tcMar>
              <w:top w:w="30" w:type="dxa"/>
              <w:left w:w="30" w:type="dxa"/>
              <w:bottom w:w="15" w:type="dxa"/>
              <w:right w:w="30" w:type="dxa"/>
            </w:tcMar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Грузовые, специальные автомобили со следующей градацией по грузоподъемности (без учета прицепов):</w:t>
            </w:r>
          </w:p>
        </w:tc>
        <w:tc>
          <w:tcPr>
            <w:tcW w:w="2551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2049A" w:rsidRPr="00EB1F85" w:rsidTr="00D84E0F">
        <w:trPr>
          <w:trHeight w:val="255"/>
          <w:jc w:val="center"/>
        </w:trPr>
        <w:tc>
          <w:tcPr>
            <w:tcW w:w="468" w:type="dxa"/>
            <w:tcMar>
              <w:top w:w="30" w:type="dxa"/>
              <w:left w:w="30" w:type="dxa"/>
              <w:bottom w:w="15" w:type="dxa"/>
              <w:right w:w="30" w:type="dxa"/>
            </w:tcMar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до 1 тонны включительно</w:t>
            </w:r>
          </w:p>
        </w:tc>
        <w:tc>
          <w:tcPr>
            <w:tcW w:w="2551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2049A" w:rsidRPr="00EB1F85" w:rsidTr="00D84E0F">
        <w:trPr>
          <w:trHeight w:val="255"/>
          <w:jc w:val="center"/>
        </w:trPr>
        <w:tc>
          <w:tcPr>
            <w:tcW w:w="468" w:type="dxa"/>
            <w:tcMar>
              <w:top w:w="30" w:type="dxa"/>
              <w:left w:w="30" w:type="dxa"/>
              <w:bottom w:w="15" w:type="dxa"/>
              <w:right w:w="30" w:type="dxa"/>
            </w:tcMar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свыше 1 тонны до 1,5 тонны включительно</w:t>
            </w:r>
          </w:p>
        </w:tc>
        <w:tc>
          <w:tcPr>
            <w:tcW w:w="2551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2049A" w:rsidRPr="00EB1F85" w:rsidTr="00D84E0F">
        <w:trPr>
          <w:trHeight w:val="255"/>
          <w:jc w:val="center"/>
        </w:trPr>
        <w:tc>
          <w:tcPr>
            <w:tcW w:w="468" w:type="dxa"/>
            <w:tcMar>
              <w:top w:w="30" w:type="dxa"/>
              <w:left w:w="30" w:type="dxa"/>
              <w:bottom w:w="15" w:type="dxa"/>
              <w:right w:w="30" w:type="dxa"/>
            </w:tcMar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свыше 1,5 до 5 тонн включительно</w:t>
            </w:r>
          </w:p>
        </w:tc>
        <w:tc>
          <w:tcPr>
            <w:tcW w:w="2551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2049A" w:rsidRPr="00EB1F85" w:rsidTr="00D84E0F">
        <w:trPr>
          <w:trHeight w:val="255"/>
          <w:jc w:val="center"/>
        </w:trPr>
        <w:tc>
          <w:tcPr>
            <w:tcW w:w="468" w:type="dxa"/>
            <w:tcMar>
              <w:top w:w="30" w:type="dxa"/>
              <w:left w:w="30" w:type="dxa"/>
              <w:bottom w:w="15" w:type="dxa"/>
              <w:right w:w="30" w:type="dxa"/>
            </w:tcMar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свыше 5 тонн</w:t>
            </w:r>
          </w:p>
        </w:tc>
        <w:tc>
          <w:tcPr>
            <w:tcW w:w="2551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2049A" w:rsidRPr="00EB1F85" w:rsidTr="00D84E0F">
        <w:trPr>
          <w:trHeight w:val="1140"/>
          <w:jc w:val="center"/>
        </w:trPr>
        <w:tc>
          <w:tcPr>
            <w:tcW w:w="468" w:type="dxa"/>
            <w:tcMar>
              <w:top w:w="30" w:type="dxa"/>
              <w:left w:w="30" w:type="dxa"/>
              <w:bottom w:w="15" w:type="dxa"/>
              <w:right w:w="30" w:type="dxa"/>
            </w:tcMar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Тракторы, самоходные сельскохозяйственные, мелиоративные и дорожно-строительные машины и механизмы, специальные машины повышенной проходимости и другие автотранспортные средства, не предназначенные для движения по автомобильным дорогам общего пользования</w:t>
            </w:r>
          </w:p>
        </w:tc>
        <w:tc>
          <w:tcPr>
            <w:tcW w:w="2551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2049A" w:rsidRPr="00EB1F85" w:rsidTr="00D84E0F">
        <w:trPr>
          <w:trHeight w:val="255"/>
          <w:jc w:val="center"/>
        </w:trPr>
        <w:tc>
          <w:tcPr>
            <w:tcW w:w="468" w:type="dxa"/>
            <w:tcMar>
              <w:top w:w="30" w:type="dxa"/>
              <w:left w:w="30" w:type="dxa"/>
              <w:bottom w:w="15" w:type="dxa"/>
              <w:right w:w="30" w:type="dxa"/>
            </w:tcMar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Автобусы со следующей градацией по количеству посадочных мест:</w:t>
            </w:r>
          </w:p>
        </w:tc>
        <w:tc>
          <w:tcPr>
            <w:tcW w:w="2551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49A" w:rsidRPr="00EB1F85" w:rsidTr="00D84E0F">
        <w:trPr>
          <w:trHeight w:val="255"/>
          <w:jc w:val="center"/>
        </w:trPr>
        <w:tc>
          <w:tcPr>
            <w:tcW w:w="468" w:type="dxa"/>
            <w:tcMar>
              <w:top w:w="30" w:type="dxa"/>
              <w:left w:w="30" w:type="dxa"/>
              <w:bottom w:w="15" w:type="dxa"/>
              <w:right w:w="30" w:type="dxa"/>
            </w:tcMar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до 12 посадочных ме</w:t>
            </w:r>
            <w:proofErr w:type="gramStart"/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ст вкл</w:t>
            </w:r>
            <w:proofErr w:type="gramEnd"/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ючительно</w:t>
            </w:r>
          </w:p>
        </w:tc>
        <w:tc>
          <w:tcPr>
            <w:tcW w:w="2551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2049A" w:rsidRPr="00EB1F85" w:rsidTr="00D84E0F">
        <w:trPr>
          <w:trHeight w:val="255"/>
          <w:jc w:val="center"/>
        </w:trPr>
        <w:tc>
          <w:tcPr>
            <w:tcW w:w="468" w:type="dxa"/>
            <w:tcMar>
              <w:top w:w="30" w:type="dxa"/>
              <w:left w:w="30" w:type="dxa"/>
              <w:bottom w:w="15" w:type="dxa"/>
              <w:right w:w="30" w:type="dxa"/>
            </w:tcMar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свыше 12 до 25 посадочных ме</w:t>
            </w:r>
            <w:proofErr w:type="gramStart"/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ст вкл</w:t>
            </w:r>
            <w:proofErr w:type="gramEnd"/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ючительно</w:t>
            </w:r>
          </w:p>
        </w:tc>
        <w:tc>
          <w:tcPr>
            <w:tcW w:w="2551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52049A" w:rsidRPr="00EB1F85" w:rsidTr="00D84E0F">
        <w:trPr>
          <w:trHeight w:val="255"/>
          <w:jc w:val="center"/>
        </w:trPr>
        <w:tc>
          <w:tcPr>
            <w:tcW w:w="468" w:type="dxa"/>
            <w:tcMar>
              <w:top w:w="30" w:type="dxa"/>
              <w:left w:w="30" w:type="dxa"/>
              <w:bottom w:w="15" w:type="dxa"/>
              <w:right w:w="30" w:type="dxa"/>
            </w:tcMar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свыше 25 посадочных мест</w:t>
            </w:r>
          </w:p>
        </w:tc>
        <w:tc>
          <w:tcPr>
            <w:tcW w:w="2551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2049A" w:rsidRPr="00EB1F85" w:rsidTr="00D84E0F">
        <w:trPr>
          <w:trHeight w:val="465"/>
          <w:jc w:val="center"/>
        </w:trPr>
        <w:tc>
          <w:tcPr>
            <w:tcW w:w="468" w:type="dxa"/>
            <w:tcMar>
              <w:top w:w="30" w:type="dxa"/>
              <w:left w:w="30" w:type="dxa"/>
              <w:bottom w:w="15" w:type="dxa"/>
              <w:right w:w="30" w:type="dxa"/>
            </w:tcMar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Мотоциклы, мотороллеры, мотосани, маломерные суда со следующей градацией по мощности двигателя:</w:t>
            </w:r>
          </w:p>
        </w:tc>
        <w:tc>
          <w:tcPr>
            <w:tcW w:w="2551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2049A" w:rsidRPr="00EB1F85" w:rsidTr="00D84E0F">
        <w:trPr>
          <w:trHeight w:val="255"/>
          <w:jc w:val="center"/>
        </w:trPr>
        <w:tc>
          <w:tcPr>
            <w:tcW w:w="468" w:type="dxa"/>
            <w:tcMar>
              <w:top w:w="30" w:type="dxa"/>
              <w:left w:w="30" w:type="dxa"/>
              <w:bottom w:w="15" w:type="dxa"/>
              <w:right w:w="30" w:type="dxa"/>
            </w:tcMar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до 55 кВт (75 лошадиных сил) включительно</w:t>
            </w:r>
          </w:p>
        </w:tc>
        <w:tc>
          <w:tcPr>
            <w:tcW w:w="2551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2049A" w:rsidRPr="00EB1F85" w:rsidTr="00D84E0F">
        <w:trPr>
          <w:trHeight w:val="255"/>
          <w:jc w:val="center"/>
        </w:trPr>
        <w:tc>
          <w:tcPr>
            <w:tcW w:w="468" w:type="dxa"/>
            <w:tcMar>
              <w:top w:w="30" w:type="dxa"/>
              <w:left w:w="30" w:type="dxa"/>
              <w:bottom w:w="15" w:type="dxa"/>
              <w:right w:w="30" w:type="dxa"/>
            </w:tcMar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свыше 55 кВт (75 лошадиных сил)</w:t>
            </w:r>
          </w:p>
        </w:tc>
        <w:tc>
          <w:tcPr>
            <w:tcW w:w="2551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2049A" w:rsidRPr="00EB1F85" w:rsidTr="00D84E0F">
        <w:trPr>
          <w:trHeight w:val="465"/>
          <w:jc w:val="center"/>
        </w:trPr>
        <w:tc>
          <w:tcPr>
            <w:tcW w:w="468" w:type="dxa"/>
            <w:tcMar>
              <w:top w:w="30" w:type="dxa"/>
              <w:left w:w="30" w:type="dxa"/>
              <w:bottom w:w="15" w:type="dxa"/>
              <w:right w:w="30" w:type="dxa"/>
            </w:tcMar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Катера, суда, буксиры, баржи, яхты со следующей градацией по мощности двигателя (в лошадиных силах):</w:t>
            </w:r>
          </w:p>
        </w:tc>
        <w:tc>
          <w:tcPr>
            <w:tcW w:w="2551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49A" w:rsidRPr="00EB1F85" w:rsidTr="00D84E0F">
        <w:trPr>
          <w:trHeight w:val="255"/>
          <w:jc w:val="center"/>
        </w:trPr>
        <w:tc>
          <w:tcPr>
            <w:tcW w:w="468" w:type="dxa"/>
            <w:tcMar>
              <w:top w:w="30" w:type="dxa"/>
              <w:left w:w="30" w:type="dxa"/>
              <w:bottom w:w="15" w:type="dxa"/>
              <w:right w:w="30" w:type="dxa"/>
            </w:tcMar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до 160 включительно</w:t>
            </w:r>
          </w:p>
        </w:tc>
        <w:tc>
          <w:tcPr>
            <w:tcW w:w="2551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2049A" w:rsidRPr="00EB1F85" w:rsidTr="00D84E0F">
        <w:trPr>
          <w:trHeight w:val="255"/>
          <w:jc w:val="center"/>
        </w:trPr>
        <w:tc>
          <w:tcPr>
            <w:tcW w:w="468" w:type="dxa"/>
            <w:tcMar>
              <w:top w:w="30" w:type="dxa"/>
              <w:left w:w="30" w:type="dxa"/>
              <w:bottom w:w="15" w:type="dxa"/>
              <w:right w:w="30" w:type="dxa"/>
            </w:tcMar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свыше 160 до 500 включительно</w:t>
            </w:r>
          </w:p>
        </w:tc>
        <w:tc>
          <w:tcPr>
            <w:tcW w:w="2551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2049A" w:rsidRPr="00EB1F85" w:rsidTr="00D84E0F">
        <w:trPr>
          <w:trHeight w:val="255"/>
          <w:jc w:val="center"/>
        </w:trPr>
        <w:tc>
          <w:tcPr>
            <w:tcW w:w="468" w:type="dxa"/>
            <w:tcMar>
              <w:top w:w="30" w:type="dxa"/>
              <w:left w:w="30" w:type="dxa"/>
              <w:bottom w:w="15" w:type="dxa"/>
              <w:right w:w="30" w:type="dxa"/>
            </w:tcMar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свыше 500 до 1 000 включительно</w:t>
            </w:r>
          </w:p>
        </w:tc>
        <w:tc>
          <w:tcPr>
            <w:tcW w:w="2551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52049A" w:rsidRPr="00EB1F85" w:rsidTr="00D84E0F">
        <w:trPr>
          <w:trHeight w:val="255"/>
          <w:jc w:val="center"/>
        </w:trPr>
        <w:tc>
          <w:tcPr>
            <w:tcW w:w="468" w:type="dxa"/>
            <w:tcMar>
              <w:top w:w="30" w:type="dxa"/>
              <w:left w:w="30" w:type="dxa"/>
              <w:bottom w:w="15" w:type="dxa"/>
              <w:right w:w="30" w:type="dxa"/>
            </w:tcMar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свыше 1 000</w:t>
            </w:r>
          </w:p>
        </w:tc>
        <w:tc>
          <w:tcPr>
            <w:tcW w:w="2551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52049A" w:rsidRPr="00EB1F85" w:rsidTr="00D84E0F">
        <w:trPr>
          <w:trHeight w:val="1590"/>
          <w:jc w:val="center"/>
        </w:trPr>
        <w:tc>
          <w:tcPr>
            <w:tcW w:w="468" w:type="dxa"/>
            <w:tcMar>
              <w:top w:w="30" w:type="dxa"/>
              <w:left w:w="30" w:type="dxa"/>
              <w:bottom w:w="15" w:type="dxa"/>
              <w:right w:w="30" w:type="dxa"/>
            </w:tcMar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15" w:type="dxa"/>
              <w:right w:w="30" w:type="dxa"/>
            </w:tcMar>
            <w:hideMark/>
          </w:tcPr>
          <w:p w:rsidR="0052049A" w:rsidRPr="00EB1F85" w:rsidRDefault="0052049A" w:rsidP="00D84E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Летательные аппараты</w:t>
            </w:r>
          </w:p>
        </w:tc>
        <w:tc>
          <w:tcPr>
            <w:tcW w:w="2551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4 процента от месячного расчетного показателя с каждого киловатта мощности</w:t>
            </w:r>
          </w:p>
        </w:tc>
      </w:tr>
      <w:tr w:rsidR="0052049A" w:rsidRPr="00EB1F85" w:rsidTr="00D84E0F">
        <w:trPr>
          <w:trHeight w:val="2040"/>
          <w:jc w:val="center"/>
        </w:trPr>
        <w:tc>
          <w:tcPr>
            <w:tcW w:w="468" w:type="dxa"/>
            <w:tcMar>
              <w:top w:w="30" w:type="dxa"/>
              <w:left w:w="30" w:type="dxa"/>
              <w:bottom w:w="15" w:type="dxa"/>
              <w:right w:w="30" w:type="dxa"/>
            </w:tcMar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Железнодорожный тяговый подвижной состав, используемый:</w:t>
            </w:r>
          </w:p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для вождения поездов любых категорий по магистральным путям;</w:t>
            </w:r>
          </w:p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 xml:space="preserve">для производства маневровой работы на магистральных, станционных и подъездных путях узкой и (или) широкой колеи; на путях промышленного железнодорожного транспорта и не </w:t>
            </w:r>
            <w:proofErr w:type="gramStart"/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выходящий</w:t>
            </w:r>
            <w:proofErr w:type="gramEnd"/>
            <w:r w:rsidRPr="00EB1F85">
              <w:rPr>
                <w:rFonts w:ascii="Times New Roman" w:hAnsi="Times New Roman" w:cs="Times New Roman"/>
                <w:sz w:val="28"/>
                <w:szCs w:val="28"/>
              </w:rPr>
              <w:t xml:space="preserve"> на магистральные и станционные пути</w:t>
            </w:r>
          </w:p>
        </w:tc>
        <w:tc>
          <w:tcPr>
            <w:tcW w:w="2551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1 процент от месячного расчетного показателя с каждого киловатта общей мощности транспортного средства</w:t>
            </w:r>
          </w:p>
        </w:tc>
      </w:tr>
      <w:tr w:rsidR="0052049A" w:rsidRPr="00EB1F85" w:rsidTr="00D84E0F">
        <w:trPr>
          <w:trHeight w:val="915"/>
          <w:jc w:val="center"/>
        </w:trPr>
        <w:tc>
          <w:tcPr>
            <w:tcW w:w="468" w:type="dxa"/>
            <w:tcMar>
              <w:top w:w="30" w:type="dxa"/>
              <w:left w:w="30" w:type="dxa"/>
              <w:bottom w:w="15" w:type="dxa"/>
              <w:right w:w="30" w:type="dxa"/>
            </w:tcMar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15" w:type="dxa"/>
              <w:right w:w="30" w:type="dxa"/>
            </w:tcMar>
            <w:hideMark/>
          </w:tcPr>
          <w:p w:rsidR="0052049A" w:rsidRPr="00EB1F85" w:rsidRDefault="0052049A" w:rsidP="00D84E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Моторвагонный</w:t>
            </w:r>
            <w:proofErr w:type="spellEnd"/>
            <w:r w:rsidRPr="00EB1F85">
              <w:rPr>
                <w:rFonts w:ascii="Times New Roman" w:hAnsi="Times New Roman" w:cs="Times New Roman"/>
                <w:sz w:val="28"/>
                <w:szCs w:val="28"/>
              </w:rPr>
              <w:t xml:space="preserve"> подвижной состав, используемый для организации перевозок пассажиров по магистральным и станционным путям узкой и широкой колеи, а также транспортные средства городского рельсового транспорта</w:t>
            </w:r>
          </w:p>
        </w:tc>
        <w:tc>
          <w:tcPr>
            <w:tcW w:w="2551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1 процент от месячного расчетного показателя с каждого киловатта общей мощности транспортного средства</w:t>
            </w:r>
          </w:p>
        </w:tc>
      </w:tr>
    </w:tbl>
    <w:p w:rsidR="0052049A" w:rsidRPr="00EB1F85" w:rsidRDefault="0052049A" w:rsidP="005204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 </w:t>
      </w:r>
    </w:p>
    <w:p w:rsidR="0052049A" w:rsidRPr="00EB1F85" w:rsidRDefault="0052049A" w:rsidP="005204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2. Для легковых автомобилей с объемом двигателя свыше 3000 кубических сантиметров, произведенных (изготовленных или собранных) в Республике Казахстан после 31 декабря 2013 года или ввезенных на территорию Республики Казахстан после 31 декабря 2013 года, исчисление налога производится по следующим ставкам, установленным в месячных расчетных показателях:</w:t>
      </w:r>
    </w:p>
    <w:p w:rsidR="0052049A" w:rsidRPr="00EB1F85" w:rsidRDefault="0052049A" w:rsidP="005204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91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8"/>
        <w:gridCol w:w="5668"/>
        <w:gridCol w:w="3042"/>
      </w:tblGrid>
      <w:tr w:rsidR="0052049A" w:rsidRPr="00EB1F85" w:rsidTr="00D84E0F">
        <w:trPr>
          <w:trHeight w:val="690"/>
          <w:jc w:val="center"/>
        </w:trPr>
        <w:tc>
          <w:tcPr>
            <w:tcW w:w="438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668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Объект налогообложения</w:t>
            </w:r>
          </w:p>
        </w:tc>
        <w:tc>
          <w:tcPr>
            <w:tcW w:w="3042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Налоговая ставка (месячный расчетный показатель)</w:t>
            </w:r>
          </w:p>
        </w:tc>
      </w:tr>
      <w:tr w:rsidR="0052049A" w:rsidRPr="00EB1F85" w:rsidTr="00D84E0F">
        <w:trPr>
          <w:trHeight w:val="255"/>
          <w:jc w:val="center"/>
        </w:trPr>
        <w:tc>
          <w:tcPr>
            <w:tcW w:w="438" w:type="dxa"/>
            <w:tcMar>
              <w:top w:w="30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8" w:type="dxa"/>
            <w:tcMar>
              <w:top w:w="30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42" w:type="dxa"/>
            <w:tcMar>
              <w:top w:w="30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2049A" w:rsidRPr="00EB1F85" w:rsidTr="00D84E0F">
        <w:trPr>
          <w:trHeight w:val="465"/>
          <w:jc w:val="center"/>
        </w:trPr>
        <w:tc>
          <w:tcPr>
            <w:tcW w:w="438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8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Легковые автомобили со следующей градацией по объему двигателя (куб. см):</w:t>
            </w:r>
          </w:p>
        </w:tc>
        <w:tc>
          <w:tcPr>
            <w:tcW w:w="3042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2049A" w:rsidRPr="00EB1F85" w:rsidTr="00D84E0F">
        <w:trPr>
          <w:trHeight w:val="255"/>
          <w:jc w:val="center"/>
        </w:trPr>
        <w:tc>
          <w:tcPr>
            <w:tcW w:w="438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68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свыше 3 000 до 3 200 включительно</w:t>
            </w:r>
          </w:p>
        </w:tc>
        <w:tc>
          <w:tcPr>
            <w:tcW w:w="3042" w:type="dxa"/>
            <w:tcMar>
              <w:top w:w="30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52049A" w:rsidRPr="00EB1F85" w:rsidTr="00D84E0F">
        <w:trPr>
          <w:trHeight w:val="255"/>
          <w:jc w:val="center"/>
        </w:trPr>
        <w:tc>
          <w:tcPr>
            <w:tcW w:w="438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68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свыше 3 200 до 3 500 включительно</w:t>
            </w:r>
          </w:p>
        </w:tc>
        <w:tc>
          <w:tcPr>
            <w:tcW w:w="3042" w:type="dxa"/>
            <w:tcMar>
              <w:top w:w="30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52049A" w:rsidRPr="00EB1F85" w:rsidTr="00D84E0F">
        <w:trPr>
          <w:trHeight w:val="255"/>
          <w:jc w:val="center"/>
        </w:trPr>
        <w:tc>
          <w:tcPr>
            <w:tcW w:w="438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68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свыше 3 500 до 4 000 включительно</w:t>
            </w:r>
          </w:p>
        </w:tc>
        <w:tc>
          <w:tcPr>
            <w:tcW w:w="3042" w:type="dxa"/>
            <w:tcMar>
              <w:top w:w="30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52049A" w:rsidRPr="00EB1F85" w:rsidTr="00D84E0F">
        <w:trPr>
          <w:trHeight w:val="255"/>
          <w:jc w:val="center"/>
        </w:trPr>
        <w:tc>
          <w:tcPr>
            <w:tcW w:w="438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68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свыше 4 000 до 5 000 включительно</w:t>
            </w:r>
          </w:p>
        </w:tc>
        <w:tc>
          <w:tcPr>
            <w:tcW w:w="3042" w:type="dxa"/>
            <w:tcMar>
              <w:top w:w="30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</w:tr>
      <w:tr w:rsidR="0052049A" w:rsidRPr="00EB1F85" w:rsidTr="00D84E0F">
        <w:trPr>
          <w:trHeight w:val="255"/>
          <w:jc w:val="center"/>
        </w:trPr>
        <w:tc>
          <w:tcPr>
            <w:tcW w:w="438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68" w:type="dxa"/>
            <w:tcMar>
              <w:top w:w="30" w:type="dxa"/>
              <w:left w:w="30" w:type="dxa"/>
              <w:bottom w:w="15" w:type="dxa"/>
              <w:right w:w="30" w:type="dxa"/>
            </w:tcMar>
            <w:vAlign w:val="bottom"/>
            <w:hideMark/>
          </w:tcPr>
          <w:p w:rsidR="0052049A" w:rsidRPr="00EB1F85" w:rsidRDefault="0052049A" w:rsidP="00D84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свыше 5 000</w:t>
            </w:r>
          </w:p>
        </w:tc>
        <w:tc>
          <w:tcPr>
            <w:tcW w:w="3042" w:type="dxa"/>
            <w:tcMar>
              <w:top w:w="30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:rsidR="0052049A" w:rsidRPr="00EB1F85" w:rsidRDefault="0052049A" w:rsidP="00D84E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1F85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</w:tbl>
    <w:p w:rsidR="0052049A" w:rsidRPr="00EB1F85" w:rsidRDefault="0052049A" w:rsidP="005204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 </w:t>
      </w:r>
    </w:p>
    <w:p w:rsidR="0052049A" w:rsidRPr="00EB1F85" w:rsidRDefault="0052049A" w:rsidP="0052049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При расчете стоит учитывать, что сумма налога увеличивается за каждую единицу превышения соответствующей нижней границы объема двигателя на 7 тенге. Например, если у вас объем двигателя составляет 2797 см</w:t>
      </w:r>
      <w:r w:rsidRPr="00EB1F8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B1F85">
        <w:rPr>
          <w:rFonts w:ascii="Times New Roman" w:hAnsi="Times New Roman" w:cs="Times New Roman"/>
          <w:sz w:val="28"/>
          <w:szCs w:val="28"/>
        </w:rPr>
        <w:t>, то в расчет принимается налоговая ставка исходя из 2500 см</w:t>
      </w:r>
      <w:r w:rsidRPr="00EB1F8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B1F85">
        <w:rPr>
          <w:rFonts w:ascii="Times New Roman" w:hAnsi="Times New Roman" w:cs="Times New Roman"/>
          <w:sz w:val="28"/>
          <w:szCs w:val="28"/>
        </w:rPr>
        <w:t xml:space="preserve"> = 9 МРП + разница к оплате налога на авто с объемом двигателя 2797 см</w:t>
      </w:r>
      <w:r w:rsidRPr="00EB1F8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B1F85">
        <w:rPr>
          <w:rFonts w:ascii="Times New Roman" w:hAnsi="Times New Roman" w:cs="Times New Roman"/>
          <w:sz w:val="28"/>
          <w:szCs w:val="28"/>
        </w:rPr>
        <w:t>.</w:t>
      </w:r>
    </w:p>
    <w:p w:rsidR="0052049A" w:rsidRPr="00EB1F85" w:rsidRDefault="0052049A" w:rsidP="0052049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1F85">
        <w:rPr>
          <w:rFonts w:ascii="Times New Roman" w:hAnsi="Times New Roman" w:cs="Times New Roman"/>
          <w:sz w:val="28"/>
          <w:szCs w:val="28"/>
        </w:rPr>
        <w:t>Нтр</w:t>
      </w:r>
      <w:proofErr w:type="spellEnd"/>
      <w:r w:rsidRPr="00EB1F85">
        <w:rPr>
          <w:rFonts w:ascii="Times New Roman" w:hAnsi="Times New Roman" w:cs="Times New Roman"/>
          <w:sz w:val="28"/>
          <w:szCs w:val="28"/>
        </w:rPr>
        <w:t xml:space="preserve"> = 9*2778+7*(2797-2500) = 27081 тенге</w:t>
      </w:r>
    </w:p>
    <w:p w:rsidR="0052049A" w:rsidRPr="00EB1F85" w:rsidRDefault="0052049A" w:rsidP="0052049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2049A" w:rsidRPr="00EB1F85" w:rsidRDefault="0052049A" w:rsidP="0052049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Юридические лица производят уплату сумм текущих платежей по месту регистрации объектов обложения посредством внесения текущих платежей не позднее 5 июля налогового периода.</w:t>
      </w:r>
    </w:p>
    <w:p w:rsidR="0052049A" w:rsidRPr="00EB1F85" w:rsidRDefault="0052049A" w:rsidP="0052049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Сроком уплаты налога в бюджет для физических лиц является дата не позднее 31 декабря налогового периода.</w:t>
      </w:r>
    </w:p>
    <w:p w:rsidR="0052049A" w:rsidRPr="00EB1F85" w:rsidRDefault="0052049A" w:rsidP="005204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Налоговым периодом для исчисления налога на транспортные средства является календарный год с 1 января по 31 декабря.</w:t>
      </w:r>
    </w:p>
    <w:p w:rsidR="0052049A" w:rsidRPr="00EB1F85" w:rsidRDefault="0052049A" w:rsidP="0052049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lastRenderedPageBreak/>
        <w:t xml:space="preserve">Плательщики – юридические лица представляют в налоговые органы по месту регистрации объектов налогообложения расчет текущих платежей по налогу на транспортные средства не позднее 5 июля текущего налогового периода, а также декларацию не позднее 31 марта года, следующего </w:t>
      </w:r>
      <w:proofErr w:type="gramStart"/>
      <w:r w:rsidRPr="00EB1F8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 xml:space="preserve"> отчетным.</w:t>
      </w:r>
    </w:p>
    <w:p w:rsidR="0052049A" w:rsidRPr="00EB1F85" w:rsidRDefault="0052049A" w:rsidP="005204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49A" w:rsidRPr="00EB1F85" w:rsidRDefault="0052049A" w:rsidP="0052049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B1F85">
        <w:rPr>
          <w:rStyle w:val="a4"/>
          <w:rFonts w:ascii="Times New Roman" w:hAnsi="Times New Roman" w:cs="Times New Roman"/>
          <w:sz w:val="28"/>
          <w:szCs w:val="28"/>
        </w:rPr>
        <w:t>Формула подсчета налога при уплате за неполный год:</w:t>
      </w:r>
      <w:r w:rsidRPr="00EB1F85">
        <w:rPr>
          <w:rFonts w:ascii="Times New Roman" w:hAnsi="Times New Roman" w:cs="Times New Roman"/>
          <w:sz w:val="28"/>
          <w:szCs w:val="28"/>
        </w:rPr>
        <w:br/>
      </w:r>
    </w:p>
    <w:p w:rsidR="0052049A" w:rsidRPr="00EB1F85" w:rsidRDefault="0052049A" w:rsidP="0052049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Налог на транспорт за неполный год = (сумма налога*кол-во месяцев взятых в расчет)/12</w:t>
      </w:r>
    </w:p>
    <w:p w:rsidR="005B46DD" w:rsidRDefault="005B46DD">
      <w:bookmarkStart w:id="0" w:name="_GoBack"/>
      <w:bookmarkEnd w:id="0"/>
    </w:p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49A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049A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4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049A"/>
    <w:pPr>
      <w:spacing w:after="0" w:line="240" w:lineRule="auto"/>
    </w:pPr>
  </w:style>
  <w:style w:type="character" w:styleId="a4">
    <w:name w:val="Strong"/>
    <w:basedOn w:val="a0"/>
    <w:uiPriority w:val="22"/>
    <w:qFormat/>
    <w:rsid w:val="0052049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4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049A"/>
    <w:pPr>
      <w:spacing w:after="0" w:line="240" w:lineRule="auto"/>
    </w:pPr>
  </w:style>
  <w:style w:type="character" w:styleId="a4">
    <w:name w:val="Strong"/>
    <w:basedOn w:val="a0"/>
    <w:uiPriority w:val="22"/>
    <w:qFormat/>
    <w:rsid w:val="005204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2020-10-22T08:07:00Z</dcterms:created>
  <dcterms:modified xsi:type="dcterms:W3CDTF">2020-10-22T08:08:00Z</dcterms:modified>
</cp:coreProperties>
</file>